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339075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9889" w:type="dxa"/>
            <w:tblLook w:val="04A0"/>
          </w:tblPr>
          <w:tblGrid>
            <w:gridCol w:w="1193"/>
            <w:gridCol w:w="8696"/>
          </w:tblGrid>
          <w:tr w:rsidR="008C6826" w:rsidTr="008C6826">
            <w:trPr>
              <w:trHeight w:val="1440"/>
            </w:trPr>
            <w:tc>
              <w:tcPr>
                <w:tcW w:w="1193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8C6826" w:rsidRDefault="008C6826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no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"/>
                  <w:lid w:val="pt-BR"/>
                  <w:storeMappedDataAs w:val="dateTime"/>
                  <w:calendar w:val="gregorian"/>
                </w:date>
              </w:sdtPr>
              <w:sdtContent>
                <w:tc>
                  <w:tcPr>
                    <w:tcW w:w="869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8C6826" w:rsidRDefault="00507266" w:rsidP="008C6826">
                    <w:pPr>
                      <w:pStyle w:val="SemEspaamento"/>
                      <w:ind w:right="601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2013 – Base 2012</w:t>
                    </w:r>
                  </w:p>
                </w:tc>
              </w:sdtContent>
            </w:sdt>
          </w:tr>
          <w:tr w:rsidR="008C6826" w:rsidTr="008C6826">
            <w:trPr>
              <w:trHeight w:val="2880"/>
            </w:trPr>
            <w:tc>
              <w:tcPr>
                <w:tcW w:w="1193" w:type="dxa"/>
                <w:tcBorders>
                  <w:right w:val="single" w:sz="4" w:space="0" w:color="000000" w:themeColor="text1"/>
                </w:tcBorders>
              </w:tcPr>
              <w:p w:rsidR="008C6826" w:rsidRDefault="008C6826"/>
            </w:tc>
            <w:tc>
              <w:tcPr>
                <w:tcW w:w="869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000000" w:themeColor="text1"/>
                    <w:sz w:val="56"/>
                    <w:szCs w:val="56"/>
                  </w:rPr>
                  <w:alias w:val="Empresa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8C6826" w:rsidRPr="008C6826" w:rsidRDefault="008C6826">
                    <w:pPr>
                      <w:pStyle w:val="SemEspaamento"/>
                      <w:rPr>
                        <w:color w:val="000000" w:themeColor="text1"/>
                        <w:sz w:val="56"/>
                        <w:szCs w:val="56"/>
                      </w:rPr>
                    </w:pPr>
                    <w:r w:rsidRPr="008C6826">
                      <w:rPr>
                        <w:color w:val="000000" w:themeColor="text1"/>
                        <w:sz w:val="56"/>
                        <w:szCs w:val="56"/>
                      </w:rPr>
                      <w:t>UNIVERSIDADE FEDERAL DE SERGIPE</w:t>
                    </w:r>
                  </w:p>
                </w:sdtContent>
              </w:sdt>
              <w:p w:rsidR="008C6826" w:rsidRDefault="008C6826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sdt>
                <w:sdtPr>
                  <w:rPr>
                    <w:color w:val="76923C" w:themeColor="accent3" w:themeShade="BF"/>
                    <w:sz w:val="40"/>
                    <w:szCs w:val="40"/>
                  </w:rPr>
                  <w:alias w:val="Autor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C6826" w:rsidRDefault="008C6826" w:rsidP="008C6826">
                    <w:pPr>
                      <w:pStyle w:val="SemEspaamento"/>
                      <w:jc w:val="center"/>
                      <w:rPr>
                        <w:color w:val="76923C" w:themeColor="accent3" w:themeShade="BF"/>
                      </w:rPr>
                    </w:pPr>
                    <w:r>
                      <w:rPr>
                        <w:color w:val="76923C" w:themeColor="accent3" w:themeShade="BF"/>
                        <w:sz w:val="40"/>
                        <w:szCs w:val="40"/>
                      </w:rPr>
                      <w:t>COORDENAÇÃO DE PLANEJAMENTO ACADÊMICO COGEPLAN</w:t>
                    </w:r>
                  </w:p>
                </w:sdtContent>
              </w:sdt>
              <w:p w:rsidR="008C6826" w:rsidRDefault="008C6826" w:rsidP="008C6826">
                <w:pPr>
                  <w:pStyle w:val="SemEspaamento"/>
                  <w:rPr>
                    <w:color w:val="76923C" w:themeColor="accent3" w:themeShade="BF"/>
                    <w:sz w:val="40"/>
                    <w:szCs w:val="40"/>
                  </w:rPr>
                </w:pPr>
              </w:p>
              <w:p w:rsidR="008C6826" w:rsidRDefault="008C6826">
                <w:pPr>
                  <w:pStyle w:val="SemEspaamento"/>
                  <w:rPr>
                    <w:color w:val="76923C" w:themeColor="accent3" w:themeShade="BF"/>
                  </w:rPr>
                </w:pPr>
              </w:p>
            </w:tc>
          </w:tr>
        </w:tbl>
        <w:p w:rsidR="008C6826" w:rsidRDefault="008C6826"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5132681</wp:posOffset>
                </wp:positionH>
                <wp:positionV relativeFrom="paragraph">
                  <wp:posOffset>-891168</wp:posOffset>
                </wp:positionV>
                <wp:extent cx="1362183" cy="1431985"/>
                <wp:effectExtent l="19050" t="0" r="9417" b="0"/>
                <wp:wrapNone/>
                <wp:docPr id="3" name="Imagem 1" descr="C:\Users\copac10\AppData\Local\Temp\Rar$DI00.352\UFS-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opac10\AppData\Local\Temp\Rar$DI00.352\UFS-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183" cy="143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C6826" w:rsidRDefault="008C6826"/>
        <w:tbl>
          <w:tblPr>
            <w:tblpPr w:leftFromText="187" w:rightFromText="187" w:horzAnchor="margin" w:tblpXSpec="center" w:tblpYSpec="bottom"/>
            <w:tblW w:w="8315" w:type="pct"/>
            <w:tblLook w:val="04A0"/>
          </w:tblPr>
          <w:tblGrid>
            <w:gridCol w:w="15682"/>
          </w:tblGrid>
          <w:tr w:rsidR="008C6826" w:rsidTr="008C6826">
            <w:tc>
              <w:tcPr>
                <w:tcW w:w="5000" w:type="pct"/>
              </w:tcPr>
              <w:p w:rsidR="008C6826" w:rsidRDefault="008C6826" w:rsidP="008C6826">
                <w:pPr>
                  <w:pStyle w:val="SemEspaamento"/>
                  <w:rPr>
                    <w:b/>
                    <w:bCs/>
                    <w:caps/>
                    <w:sz w:val="72"/>
                    <w:szCs w:val="72"/>
                  </w:rPr>
                </w:pPr>
              </w:p>
            </w:tc>
          </w:tr>
          <w:tr w:rsidR="008C6826" w:rsidTr="008C6826">
            <w:tc>
              <w:tcPr>
                <w:tcW w:w="5000" w:type="pct"/>
              </w:tcPr>
              <w:p w:rsidR="008C6826" w:rsidRDefault="008C6826" w:rsidP="008C6826">
                <w:pPr>
                  <w:pStyle w:val="SemEspaamento"/>
                  <w:rPr>
                    <w:color w:val="7F7F7F" w:themeColor="background1" w:themeShade="7F"/>
                  </w:rPr>
                </w:pPr>
              </w:p>
            </w:tc>
          </w:tr>
        </w:tbl>
        <w:p w:rsidR="008C6826" w:rsidRDefault="008C6826"/>
        <w:p w:rsidR="008C6826" w:rsidRDefault="006C1E63">
          <w:r>
            <w:rPr>
              <w:noProof/>
              <w:lang w:eastAsia="pt-B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-1859915</wp:posOffset>
                </wp:positionV>
                <wp:extent cx="1333500" cy="1390650"/>
                <wp:effectExtent l="19050" t="0" r="0" b="0"/>
                <wp:wrapNone/>
                <wp:docPr id="10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39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FA296D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0;width:180.55pt;height:141.5pt;z-index:251664384;mso-width-percent:400;mso-height-percent:200;mso-position-horizontal:center;mso-position-horizontal-relative:text;mso-position-vertical-relative:text;mso-width-percent:400;mso-height-percent:200;mso-width-relative:margin;mso-height-relative:margin">
                <v:textbox style="mso-next-textbox:#_x0000_s1032;mso-fit-shape-to-text:t">
                  <w:txbxContent>
                    <w:sdt>
                      <w:sdtPr>
                        <w:id w:val="4339493"/>
                        <w:temporary/>
                        <w:showingPlcHdr/>
                      </w:sdtPr>
                      <w:sdtContent>
                        <w:p w:rsidR="00086706" w:rsidRDefault="00086706">
                          <w:r>
                            <w:t>[Digite uma citação do documento ou o resumo de uma questão interessante. Você pode posicionar a caixa de texto em qualquer lugar do documento. Use a guia Ferramentas de Caixa de Texto para alterar a formatação da caixa de texto da citação.]</w:t>
                          </w:r>
                        </w:p>
                      </w:sdtContent>
                    </w:sdt>
                  </w:txbxContent>
                </v:textbox>
              </v:shape>
            </w:pict>
          </w:r>
          <w:r w:rsidR="00FA296D">
            <w:rPr>
              <w:noProof/>
            </w:rPr>
            <w:pict>
              <v:shape id="_x0000_s1026" type="#_x0000_t202" style="position:absolute;margin-left:-439.1pt;margin-top:228.95pt;width:433.95pt;height:72.1pt;z-index:251660288;mso-height-percent:200;mso-position-horizontal-relative:text;mso-position-vertical-relative:text;mso-height-percent:200;mso-width-relative:margin;mso-height-relative:margin" stroked="f">
                <v:textbox style="mso-next-textbox:#_x0000_s1026;mso-fit-shape-to-text:t">
                  <w:txbxContent>
                    <w:p w:rsidR="00086706" w:rsidRDefault="00086706" w:rsidP="008C6826">
                      <w:pPr>
                        <w:jc w:val="center"/>
                        <w:rPr>
                          <w:rFonts w:eastAsiaTheme="minorEastAsia"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8C6826">
                        <w:rPr>
                          <w:rFonts w:eastAsiaTheme="minorEastAsia"/>
                          <w:color w:val="76923C" w:themeColor="accent3" w:themeShade="BF"/>
                          <w:sz w:val="32"/>
                          <w:szCs w:val="32"/>
                        </w:rPr>
                        <w:t xml:space="preserve">COORDENAÇÃO DE PLANEJAMENTO ACADÊMICO </w:t>
                      </w:r>
                    </w:p>
                    <w:p w:rsidR="00086706" w:rsidRPr="008C6826" w:rsidRDefault="00086706" w:rsidP="008C6826">
                      <w:pPr>
                        <w:jc w:val="center"/>
                        <w:rPr>
                          <w:rFonts w:eastAsiaTheme="minorEastAsia"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8C6826">
                        <w:rPr>
                          <w:rFonts w:eastAsiaTheme="minorEastAsia"/>
                          <w:color w:val="76923C" w:themeColor="accent3" w:themeShade="BF"/>
                          <w:sz w:val="32"/>
                          <w:szCs w:val="32"/>
                        </w:rPr>
                        <w:t>COPAC</w:t>
                      </w:r>
                    </w:p>
                  </w:txbxContent>
                </v:textbox>
              </v:shape>
            </w:pict>
          </w:r>
          <w:r w:rsidR="008C6826">
            <w:br w:type="page"/>
          </w:r>
        </w:p>
      </w:sdtContent>
    </w:sdt>
    <w:p w:rsidR="00465298" w:rsidRPr="00507266" w:rsidRDefault="00652EBA">
      <w:pPr>
        <w:rPr>
          <w:rFonts w:asciiTheme="majorHAnsi" w:hAnsiTheme="majorHAnsi"/>
        </w:rPr>
      </w:pPr>
      <w:proofErr w:type="gramStart"/>
      <w:r w:rsidRPr="00507266">
        <w:rPr>
          <w:rFonts w:asciiTheme="majorHAnsi" w:hAnsiTheme="majorHAnsi"/>
        </w:rPr>
        <w:lastRenderedPageBreak/>
        <w:t>1</w:t>
      </w:r>
      <w:proofErr w:type="gramEnd"/>
      <w:r w:rsidRPr="00507266">
        <w:rPr>
          <w:rFonts w:asciiTheme="majorHAnsi" w:hAnsiTheme="majorHAnsi"/>
        </w:rPr>
        <w:t xml:space="preserve"> Aspectos gerais d</w:t>
      </w:r>
      <w:r w:rsidR="00507266">
        <w:rPr>
          <w:rFonts w:asciiTheme="majorHAnsi" w:hAnsiTheme="majorHAnsi"/>
        </w:rPr>
        <w:t>o IGC</w:t>
      </w:r>
      <w:r w:rsidRPr="00507266">
        <w:rPr>
          <w:rFonts w:asciiTheme="majorHAnsi" w:hAnsiTheme="majorHAnsi"/>
        </w:rPr>
        <w:t xml:space="preserve"> avaliação</w:t>
      </w:r>
    </w:p>
    <w:p w:rsidR="00172AFD" w:rsidRPr="00172AFD" w:rsidRDefault="00172AFD" w:rsidP="00172AFD">
      <w:pPr>
        <w:ind w:firstLine="993"/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 xml:space="preserve">O Ministério da Educação (MEC) divulgou, no dia </w:t>
      </w:r>
      <w:r w:rsidR="003F1580">
        <w:rPr>
          <w:rFonts w:asciiTheme="majorHAnsi" w:hAnsiTheme="majorHAnsi"/>
        </w:rPr>
        <w:t>2</w:t>
      </w:r>
      <w:r w:rsidRPr="00172AFD">
        <w:rPr>
          <w:rFonts w:asciiTheme="majorHAnsi" w:hAnsiTheme="majorHAnsi"/>
        </w:rPr>
        <w:t xml:space="preserve"> de dezembro de 201</w:t>
      </w:r>
      <w:r w:rsidR="003F1580">
        <w:rPr>
          <w:rFonts w:asciiTheme="majorHAnsi" w:hAnsiTheme="majorHAnsi"/>
        </w:rPr>
        <w:t>3</w:t>
      </w:r>
      <w:r w:rsidRPr="00172AFD">
        <w:rPr>
          <w:rFonts w:asciiTheme="majorHAnsi" w:hAnsiTheme="majorHAnsi"/>
        </w:rPr>
        <w:t>, os resultados do processo nacional de avaliação das instituições de ensino superior (IES). Tal avaliação é realizada considerando:</w:t>
      </w:r>
    </w:p>
    <w:p w:rsidR="00172AFD" w:rsidRPr="00172AFD" w:rsidRDefault="00172AFD" w:rsidP="00172AFD">
      <w:pPr>
        <w:pStyle w:val="PargrafodaLista"/>
        <w:numPr>
          <w:ilvl w:val="1"/>
          <w:numId w:val="10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Índice Geral de Cursos da Instituição (IGC): Classifica as universidades no País, é composto por três medidas:</w:t>
      </w:r>
    </w:p>
    <w:p w:rsidR="00172AFD" w:rsidRPr="00172AFD" w:rsidRDefault="00172AFD" w:rsidP="00172AFD">
      <w:pPr>
        <w:pStyle w:val="PargrafodaLista"/>
        <w:numPr>
          <w:ilvl w:val="0"/>
          <w:numId w:val="7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Média dos três últimos conceitos preliminares de curso (CPC)</w:t>
      </w:r>
    </w:p>
    <w:p w:rsidR="00172AFD" w:rsidRPr="00172AFD" w:rsidRDefault="00172AFD" w:rsidP="00172AFD">
      <w:pPr>
        <w:pStyle w:val="PargrafodaLista"/>
        <w:numPr>
          <w:ilvl w:val="0"/>
          <w:numId w:val="7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 xml:space="preserve">Média das avaliações dos programas de pós-graduação, atribuída pela </w:t>
      </w:r>
      <w:proofErr w:type="gramStart"/>
      <w:r w:rsidRPr="00172AFD">
        <w:rPr>
          <w:rFonts w:asciiTheme="majorHAnsi" w:hAnsiTheme="majorHAnsi"/>
        </w:rPr>
        <w:t>CAPES</w:t>
      </w:r>
      <w:proofErr w:type="gramEnd"/>
    </w:p>
    <w:p w:rsidR="00172AFD" w:rsidRPr="00172AFD" w:rsidRDefault="00172AFD" w:rsidP="00172AFD">
      <w:pPr>
        <w:pStyle w:val="PargrafodaLista"/>
        <w:numPr>
          <w:ilvl w:val="0"/>
          <w:numId w:val="7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Distribuição dos estudantes entre os diferentes níveis de ensino (graduação, pós-graduação strictu sensu).</w:t>
      </w:r>
    </w:p>
    <w:p w:rsidR="00172AFD" w:rsidRPr="00172AFD" w:rsidRDefault="00172AFD" w:rsidP="00172AFD">
      <w:pPr>
        <w:pStyle w:val="PargrafodaLista"/>
        <w:ind w:left="1440"/>
        <w:jc w:val="both"/>
        <w:rPr>
          <w:rFonts w:asciiTheme="majorHAnsi" w:hAnsiTheme="majorHAnsi"/>
        </w:rPr>
      </w:pPr>
    </w:p>
    <w:p w:rsidR="00172AFD" w:rsidRPr="00172AFD" w:rsidRDefault="00172AFD" w:rsidP="00172AFD">
      <w:pPr>
        <w:pStyle w:val="PargrafodaLista"/>
        <w:numPr>
          <w:ilvl w:val="1"/>
          <w:numId w:val="10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 xml:space="preserve"> Conceito Preliminar de Curso (CPC): Combina as informações referentes </w:t>
      </w:r>
      <w:proofErr w:type="gramStart"/>
      <w:r w:rsidRPr="00172AFD">
        <w:rPr>
          <w:rFonts w:asciiTheme="majorHAnsi" w:hAnsiTheme="majorHAnsi"/>
        </w:rPr>
        <w:t>a</w:t>
      </w:r>
      <w:proofErr w:type="gramEnd"/>
      <w:r w:rsidRPr="00172AFD">
        <w:rPr>
          <w:rFonts w:asciiTheme="majorHAnsi" w:hAnsiTheme="majorHAnsi"/>
        </w:rPr>
        <w:t>: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Professores doutores em relação ao total de docentes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Professores mestres em relação ao total de docentes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Professores com regime de dedicação integral ou parcial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Infraestrutura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proofErr w:type="gramStart"/>
      <w:r w:rsidRPr="00172AFD">
        <w:rPr>
          <w:rFonts w:asciiTheme="majorHAnsi" w:hAnsiTheme="majorHAnsi"/>
        </w:rPr>
        <w:t>Organização didático pedagógica</w:t>
      </w:r>
      <w:proofErr w:type="gramEnd"/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Nota dos concluintes no ENADE</w:t>
      </w:r>
    </w:p>
    <w:p w:rsidR="00172AFD" w:rsidRPr="00172AFD" w:rsidRDefault="00172AFD" w:rsidP="00172AFD">
      <w:pPr>
        <w:pStyle w:val="PargrafodaLista"/>
        <w:numPr>
          <w:ilvl w:val="0"/>
          <w:numId w:val="8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Indicador de diferença entre desempenho observado e esperado</w:t>
      </w:r>
    </w:p>
    <w:p w:rsidR="00172AFD" w:rsidRPr="00172AFD" w:rsidRDefault="00172AFD" w:rsidP="00172AFD">
      <w:pPr>
        <w:pStyle w:val="PargrafodaLista"/>
        <w:ind w:left="1440"/>
        <w:jc w:val="both"/>
        <w:rPr>
          <w:rFonts w:asciiTheme="majorHAnsi" w:hAnsiTheme="majorHAnsi"/>
        </w:rPr>
      </w:pPr>
    </w:p>
    <w:p w:rsidR="00172AFD" w:rsidRPr="00172AFD" w:rsidRDefault="00172AFD" w:rsidP="00172AFD">
      <w:pPr>
        <w:pStyle w:val="PargrafodaLista"/>
        <w:numPr>
          <w:ilvl w:val="1"/>
          <w:numId w:val="10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Conceito ENADE (Exame Nacional de Desempenho Educacional): Representa os desempenhos médios padronizados dos alunos em relação:</w:t>
      </w:r>
    </w:p>
    <w:p w:rsidR="00172AFD" w:rsidRPr="00172AFD" w:rsidRDefault="00172AFD" w:rsidP="00172AFD">
      <w:pPr>
        <w:pStyle w:val="PargrafodaLista"/>
        <w:numPr>
          <w:ilvl w:val="0"/>
          <w:numId w:val="9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Formação geral</w:t>
      </w:r>
    </w:p>
    <w:p w:rsidR="00172AFD" w:rsidRDefault="00172AFD" w:rsidP="00172AFD">
      <w:pPr>
        <w:pStyle w:val="PargrafodaLista"/>
        <w:numPr>
          <w:ilvl w:val="0"/>
          <w:numId w:val="9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Componente específico</w:t>
      </w:r>
    </w:p>
    <w:p w:rsidR="00172AFD" w:rsidRDefault="00172AFD" w:rsidP="00172AFD">
      <w:pPr>
        <w:pStyle w:val="PargrafodaLista"/>
        <w:ind w:left="1440"/>
        <w:jc w:val="both"/>
        <w:rPr>
          <w:rFonts w:asciiTheme="majorHAnsi" w:hAnsiTheme="majorHAnsi"/>
        </w:rPr>
      </w:pPr>
    </w:p>
    <w:p w:rsidR="00172AFD" w:rsidRDefault="00172AFD" w:rsidP="00172AFD">
      <w:pPr>
        <w:pStyle w:val="PargrafodaLista"/>
        <w:ind w:left="1440"/>
        <w:jc w:val="both"/>
        <w:rPr>
          <w:rFonts w:asciiTheme="majorHAnsi" w:hAnsiTheme="majorHAnsi"/>
        </w:rPr>
      </w:pPr>
    </w:p>
    <w:p w:rsidR="00172AFD" w:rsidRDefault="00172AFD" w:rsidP="00172AFD">
      <w:pPr>
        <w:pStyle w:val="PargrafodaLista"/>
        <w:numPr>
          <w:ilvl w:val="0"/>
          <w:numId w:val="10"/>
        </w:numPr>
        <w:jc w:val="both"/>
        <w:rPr>
          <w:rFonts w:asciiTheme="majorHAnsi" w:hAnsiTheme="majorHAnsi"/>
        </w:rPr>
      </w:pPr>
      <w:r w:rsidRPr="00172AFD">
        <w:rPr>
          <w:rFonts w:asciiTheme="majorHAnsi" w:hAnsiTheme="majorHAnsi"/>
        </w:rPr>
        <w:t>Resultados</w:t>
      </w:r>
    </w:p>
    <w:p w:rsidR="006608C5" w:rsidRDefault="006608C5" w:rsidP="00172AFD">
      <w:pPr>
        <w:pStyle w:val="PargrafodaLista"/>
        <w:ind w:left="0" w:firstLine="851"/>
        <w:jc w:val="both"/>
        <w:rPr>
          <w:rFonts w:asciiTheme="majorHAnsi" w:hAnsiTheme="majorHAnsi"/>
        </w:rPr>
      </w:pPr>
      <w:r w:rsidRPr="00EB450F">
        <w:rPr>
          <w:rFonts w:asciiTheme="majorHAnsi" w:hAnsiTheme="majorHAnsi"/>
          <w:b/>
          <w:u w:val="single"/>
        </w:rPr>
        <w:t xml:space="preserve">O IGC 2013(Base 2012) foi de 3,0043, o que mantém a UFS com nota </w:t>
      </w:r>
      <w:proofErr w:type="gramStart"/>
      <w:r w:rsidRPr="00EB450F">
        <w:rPr>
          <w:rFonts w:asciiTheme="majorHAnsi" w:hAnsiTheme="majorHAnsi"/>
          <w:b/>
          <w:u w:val="single"/>
        </w:rPr>
        <w:t>4</w:t>
      </w:r>
      <w:proofErr w:type="gramEnd"/>
      <w:r>
        <w:rPr>
          <w:rFonts w:asciiTheme="majorHAnsi" w:hAnsiTheme="majorHAnsi"/>
        </w:rPr>
        <w:t>. Os dados da tabela 1 permitem dizer que:</w:t>
      </w:r>
    </w:p>
    <w:p w:rsidR="00172AFD" w:rsidRDefault="006608C5" w:rsidP="004849B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Dos 15 cursos submetidos ao ENADE:</w:t>
      </w:r>
    </w:p>
    <w:p w:rsidR="00933470" w:rsidRDefault="006608C5" w:rsidP="006608C5">
      <w:pPr>
        <w:pStyle w:val="PargrafodaLista"/>
        <w:numPr>
          <w:ilvl w:val="0"/>
          <w:numId w:val="1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Dois cursos </w:t>
      </w:r>
      <w:r w:rsidR="00933470">
        <w:rPr>
          <w:rFonts w:asciiTheme="majorHAnsi" w:hAnsiTheme="majorHAnsi"/>
        </w:rPr>
        <w:t>situaram-se na faixa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5</w:t>
      </w:r>
      <w:proofErr w:type="gramEnd"/>
      <w:r>
        <w:rPr>
          <w:rFonts w:asciiTheme="majorHAnsi" w:hAnsiTheme="majorHAnsi"/>
        </w:rPr>
        <w:t xml:space="preserve">, são eles:  </w:t>
      </w:r>
      <w:r w:rsidR="00933470">
        <w:rPr>
          <w:rFonts w:asciiTheme="majorHAnsi" w:hAnsiTheme="majorHAnsi"/>
        </w:rPr>
        <w:t>Psicologia e Publicidade e Propaganda;</w:t>
      </w:r>
    </w:p>
    <w:p w:rsidR="006608C5" w:rsidRDefault="00933470" w:rsidP="006608C5">
      <w:pPr>
        <w:pStyle w:val="PargrafodaLista"/>
        <w:numPr>
          <w:ilvl w:val="0"/>
          <w:numId w:val="1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Cinco cursos figuraram na faixa </w:t>
      </w:r>
      <w:proofErr w:type="gramStart"/>
      <w:r>
        <w:rPr>
          <w:rFonts w:asciiTheme="majorHAnsi" w:hAnsiTheme="majorHAnsi"/>
        </w:rPr>
        <w:t>4</w:t>
      </w:r>
      <w:proofErr w:type="gramEnd"/>
      <w:r>
        <w:rPr>
          <w:rFonts w:asciiTheme="majorHAnsi" w:hAnsiTheme="majorHAnsi"/>
        </w:rPr>
        <w:t>: Relações Internacionais, Direito (diurno e noturno) e Administração (São Cristóvão e Itabaiana);</w:t>
      </w:r>
    </w:p>
    <w:p w:rsidR="00933470" w:rsidRDefault="00933470" w:rsidP="006608C5">
      <w:pPr>
        <w:pStyle w:val="PargrafodaLista"/>
        <w:numPr>
          <w:ilvl w:val="0"/>
          <w:numId w:val="1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Quatro cursos ficaram na faixa </w:t>
      </w:r>
      <w:proofErr w:type="gramStart"/>
      <w:r>
        <w:rPr>
          <w:rFonts w:asciiTheme="majorHAnsi" w:hAnsiTheme="majorHAnsi"/>
        </w:rPr>
        <w:t>3</w:t>
      </w:r>
      <w:proofErr w:type="gramEnd"/>
      <w:r>
        <w:rPr>
          <w:rFonts w:asciiTheme="majorHAnsi" w:hAnsiTheme="majorHAnsi"/>
        </w:rPr>
        <w:t>: Administração (Itabaiana), Secretariado, Ciências Contábeis e Jornalismo;</w:t>
      </w:r>
    </w:p>
    <w:p w:rsidR="00933470" w:rsidRDefault="00933470" w:rsidP="00933470">
      <w:pPr>
        <w:pStyle w:val="PargrafodaLista"/>
        <w:numPr>
          <w:ilvl w:val="0"/>
          <w:numId w:val="11"/>
        </w:numPr>
        <w:jc w:val="both"/>
        <w:rPr>
          <w:rFonts w:asciiTheme="majorHAnsi" w:hAnsiTheme="majorHAnsi"/>
        </w:rPr>
      </w:pPr>
      <w:r w:rsidRPr="00933470">
        <w:rPr>
          <w:rFonts w:asciiTheme="majorHAnsi" w:hAnsiTheme="majorHAnsi"/>
        </w:rPr>
        <w:t xml:space="preserve">Quatro cursos, na faixa </w:t>
      </w:r>
      <w:proofErr w:type="gramStart"/>
      <w:r w:rsidRPr="00933470">
        <w:rPr>
          <w:rFonts w:asciiTheme="majorHAnsi" w:hAnsiTheme="majorHAnsi"/>
        </w:rPr>
        <w:t>2</w:t>
      </w:r>
      <w:proofErr w:type="gramEnd"/>
      <w:r w:rsidRPr="00933470">
        <w:rPr>
          <w:rFonts w:asciiTheme="majorHAnsi" w:hAnsiTheme="majorHAnsi"/>
        </w:rPr>
        <w:t>: Ciências Econômicas, Turismo e Ciências Cont</w:t>
      </w:r>
      <w:r>
        <w:rPr>
          <w:rFonts w:asciiTheme="majorHAnsi" w:hAnsiTheme="majorHAnsi"/>
        </w:rPr>
        <w:t>ábeis (Itabaiana).</w:t>
      </w:r>
    </w:p>
    <w:p w:rsidR="003F1580" w:rsidRDefault="003F1580" w:rsidP="003F1580">
      <w:pPr>
        <w:pStyle w:val="PargrafodaLista"/>
        <w:ind w:left="1211"/>
        <w:jc w:val="both"/>
        <w:rPr>
          <w:rFonts w:asciiTheme="majorHAnsi" w:hAnsiTheme="majorHAnsi"/>
        </w:rPr>
      </w:pPr>
    </w:p>
    <w:p w:rsidR="00933470" w:rsidRPr="004849B4" w:rsidRDefault="00933470" w:rsidP="004849B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</w:rPr>
      </w:pPr>
      <w:r w:rsidRPr="004849B4">
        <w:rPr>
          <w:rFonts w:asciiTheme="majorHAnsi" w:hAnsiTheme="majorHAnsi"/>
        </w:rPr>
        <w:t>Dos 15 cursos submetidos com CPC:</w:t>
      </w:r>
    </w:p>
    <w:p w:rsidR="00172AFD" w:rsidRDefault="00933470" w:rsidP="00933470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</w:rPr>
      </w:pPr>
      <w:r w:rsidRPr="00933470">
        <w:rPr>
          <w:rFonts w:asciiTheme="majorHAnsi" w:hAnsiTheme="majorHAnsi"/>
        </w:rPr>
        <w:t>Dois</w:t>
      </w:r>
      <w:r>
        <w:rPr>
          <w:rFonts w:asciiTheme="majorHAnsi" w:hAnsiTheme="majorHAnsi"/>
        </w:rPr>
        <w:t xml:space="preserve"> obtiveram nota </w:t>
      </w:r>
      <w:proofErr w:type="gramStart"/>
      <w:r>
        <w:rPr>
          <w:rFonts w:asciiTheme="majorHAnsi" w:hAnsiTheme="majorHAnsi"/>
        </w:rPr>
        <w:t>4</w:t>
      </w:r>
      <w:proofErr w:type="gramEnd"/>
      <w:r>
        <w:rPr>
          <w:rFonts w:asciiTheme="majorHAnsi" w:hAnsiTheme="majorHAnsi"/>
        </w:rPr>
        <w:t>:</w:t>
      </w:r>
      <w:r w:rsidR="00382F40">
        <w:rPr>
          <w:rFonts w:asciiTheme="majorHAnsi" w:hAnsiTheme="majorHAnsi"/>
        </w:rPr>
        <w:t xml:space="preserve"> Psicologia e Publicidade e Propaganda;</w:t>
      </w:r>
    </w:p>
    <w:p w:rsidR="00382F40" w:rsidRDefault="00382F40" w:rsidP="00933470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Dois obtiveram nota </w:t>
      </w:r>
      <w:proofErr w:type="gramStart"/>
      <w:r>
        <w:rPr>
          <w:rFonts w:asciiTheme="majorHAnsi" w:hAnsiTheme="majorHAnsi"/>
        </w:rPr>
        <w:t>2</w:t>
      </w:r>
      <w:proofErr w:type="gramEnd"/>
      <w:r>
        <w:rPr>
          <w:rFonts w:asciiTheme="majorHAnsi" w:hAnsiTheme="majorHAnsi"/>
        </w:rPr>
        <w:t>: Turismo e Ciências Contábeis (Itabaiana)</w:t>
      </w:r>
    </w:p>
    <w:p w:rsidR="00382F40" w:rsidRDefault="00382F40" w:rsidP="00933470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Os outros nove tiveram nota </w:t>
      </w:r>
      <w:proofErr w:type="gramStart"/>
      <w:r>
        <w:rPr>
          <w:rFonts w:asciiTheme="majorHAnsi" w:hAnsiTheme="majorHAnsi"/>
        </w:rPr>
        <w:t>3</w:t>
      </w:r>
      <w:proofErr w:type="gramEnd"/>
      <w:r>
        <w:rPr>
          <w:rFonts w:asciiTheme="majorHAnsi" w:hAnsiTheme="majorHAnsi"/>
        </w:rPr>
        <w:t>.</w:t>
      </w:r>
    </w:p>
    <w:p w:rsidR="003F1580" w:rsidRDefault="003F1580" w:rsidP="003F1580">
      <w:pPr>
        <w:jc w:val="both"/>
        <w:rPr>
          <w:rFonts w:asciiTheme="majorHAnsi" w:hAnsiTheme="majorHAnsi"/>
        </w:rPr>
      </w:pPr>
    </w:p>
    <w:p w:rsidR="003F1580" w:rsidRPr="003F1580" w:rsidRDefault="003F1580" w:rsidP="003F1580">
      <w:pPr>
        <w:jc w:val="both"/>
        <w:rPr>
          <w:rFonts w:asciiTheme="majorHAnsi" w:hAnsiTheme="majorHAnsi"/>
        </w:rPr>
      </w:pPr>
    </w:p>
    <w:p w:rsidR="00172AFD" w:rsidRDefault="003F1580" w:rsidP="006C1E63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6350</wp:posOffset>
            </wp:positionV>
            <wp:extent cx="5320030" cy="2889885"/>
            <wp:effectExtent l="19050" t="0" r="0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AFD" w:rsidRDefault="00172AFD" w:rsidP="006C1E63">
      <w:pPr>
        <w:jc w:val="both"/>
        <w:rPr>
          <w:rFonts w:asciiTheme="majorHAnsi" w:hAnsiTheme="majorHAnsi"/>
        </w:rPr>
      </w:pPr>
    </w:p>
    <w:p w:rsidR="00172AFD" w:rsidRDefault="00172AFD" w:rsidP="006C1E63">
      <w:pPr>
        <w:jc w:val="both"/>
        <w:rPr>
          <w:rFonts w:asciiTheme="majorHAnsi" w:hAnsiTheme="majorHAnsi"/>
        </w:rPr>
      </w:pPr>
    </w:p>
    <w:p w:rsidR="006C1E63" w:rsidRPr="00507266" w:rsidRDefault="00B13DAD" w:rsidP="006C1E63">
      <w:pPr>
        <w:jc w:val="both"/>
        <w:rPr>
          <w:rFonts w:asciiTheme="majorHAnsi" w:hAnsiTheme="majorHAnsi"/>
        </w:rPr>
      </w:pPr>
      <w:r w:rsidRPr="00507266">
        <w:rPr>
          <w:rFonts w:asciiTheme="majorHAnsi" w:hAnsiTheme="majorHAnsi"/>
        </w:rPr>
        <w:t xml:space="preserve"> </w:t>
      </w:r>
    </w:p>
    <w:p w:rsidR="00F45600" w:rsidRPr="00507266" w:rsidRDefault="00F45600" w:rsidP="001116E8">
      <w:pPr>
        <w:spacing w:after="0" w:line="240" w:lineRule="auto"/>
        <w:ind w:left="115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left="115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left="115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Default="00F45600" w:rsidP="00F45600">
      <w:pPr>
        <w:spacing w:after="0" w:line="240" w:lineRule="auto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3F1580" w:rsidRPr="00507266" w:rsidRDefault="003F1580" w:rsidP="00F45600">
      <w:pPr>
        <w:spacing w:after="0" w:line="240" w:lineRule="auto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1116E8" w:rsidRPr="00507266" w:rsidRDefault="001116E8" w:rsidP="00E92287">
      <w:pPr>
        <w:spacing w:after="0" w:line="240" w:lineRule="auto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F45600">
      <w:pPr>
        <w:spacing w:after="0" w:line="240" w:lineRule="auto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45600" w:rsidRPr="00507266" w:rsidRDefault="00F4560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F93725" w:rsidRDefault="00382F40" w:rsidP="00F93725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–</w:t>
      </w:r>
      <w:r w:rsidRPr="00382F40">
        <w:rPr>
          <w:rFonts w:asciiTheme="majorHAnsi" w:eastAsia="Times New Roman" w:hAnsiTheme="majorHAnsi" w:cs="Calibri"/>
          <w:color w:val="000000"/>
          <w:lang w:eastAsia="pt-BR"/>
        </w:rPr>
        <w:t xml:space="preserve"> Avaliaçã</w:t>
      </w:r>
      <w:r w:rsidR="00F93725">
        <w:rPr>
          <w:rFonts w:asciiTheme="majorHAnsi" w:eastAsia="Times New Roman" w:hAnsiTheme="majorHAnsi" w:cs="Calibri"/>
          <w:color w:val="000000"/>
          <w:lang w:eastAsia="pt-BR"/>
        </w:rPr>
        <w:t>o</w:t>
      </w:r>
    </w:p>
    <w:p w:rsidR="00807AA0" w:rsidRDefault="00F93725" w:rsidP="00F93725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O ciclo avaliativo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do Ministério da Educação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 determina que o 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Exame Nacional de Desempenho d</w:t>
      </w:r>
      <w:r w:rsidR="003F1580">
        <w:rPr>
          <w:rFonts w:asciiTheme="majorHAnsi" w:eastAsia="Times New Roman" w:hAnsiTheme="majorHAnsi" w:cs="Calibri"/>
          <w:color w:val="000000"/>
          <w:lang w:eastAsia="pt-BR"/>
        </w:rPr>
        <w:t>os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Estudantes (</w:t>
      </w:r>
      <w:r>
        <w:rPr>
          <w:rFonts w:asciiTheme="majorHAnsi" w:eastAsia="Times New Roman" w:hAnsiTheme="majorHAnsi" w:cs="Calibri"/>
          <w:color w:val="000000"/>
          <w:lang w:eastAsia="pt-BR"/>
        </w:rPr>
        <w:t>ENADE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)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 seja aplicado em cada área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de conhecimento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 a cada três anos</w:t>
      </w:r>
      <w:r w:rsidR="004849B4">
        <w:rPr>
          <w:rFonts w:asciiTheme="majorHAnsi" w:eastAsia="Times New Roman" w:hAnsiTheme="majorHAnsi" w:cs="Calibri"/>
          <w:color w:val="000000"/>
          <w:lang w:eastAsia="pt-BR"/>
        </w:rPr>
        <w:t>. O Conceito Preliminar de Curso (CPC)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refere-se à</w:t>
      </w:r>
      <w:r w:rsidR="004849B4">
        <w:rPr>
          <w:rFonts w:asciiTheme="majorHAnsi" w:eastAsia="Times New Roman" w:hAnsiTheme="majorHAnsi" w:cs="Calibri"/>
          <w:color w:val="000000"/>
          <w:lang w:eastAsia="pt-BR"/>
        </w:rPr>
        <w:t>s informações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sobre o</w:t>
      </w:r>
      <w:r w:rsidR="004849B4">
        <w:rPr>
          <w:rFonts w:asciiTheme="majorHAnsi" w:eastAsia="Times New Roman" w:hAnsiTheme="majorHAnsi" w:cs="Calibri"/>
          <w:color w:val="000000"/>
          <w:lang w:eastAsia="pt-BR"/>
        </w:rPr>
        <w:t xml:space="preserve"> quadro docente e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do</w:t>
      </w:r>
      <w:r w:rsidR="004849B4">
        <w:rPr>
          <w:rFonts w:asciiTheme="majorHAnsi" w:eastAsia="Times New Roman" w:hAnsiTheme="majorHAnsi" w:cs="Calibri"/>
          <w:color w:val="000000"/>
          <w:lang w:eastAsia="pt-BR"/>
        </w:rPr>
        <w:t xml:space="preserve"> Censo da Educação Superior. Vale ressaltar que o CPC não é necessariamente realizado para o curso, mas para </w:t>
      </w:r>
      <w:r w:rsidR="009F754B">
        <w:rPr>
          <w:rFonts w:asciiTheme="majorHAnsi" w:eastAsia="Times New Roman" w:hAnsiTheme="majorHAnsi" w:cs="Calibri"/>
          <w:color w:val="000000"/>
          <w:lang w:eastAsia="pt-BR"/>
        </w:rPr>
        <w:t>o conjunto de cursos que compõem uma área de avaliação específica do ENADE</w:t>
      </w:r>
      <w:r w:rsidR="004849B4">
        <w:rPr>
          <w:rFonts w:asciiTheme="majorHAnsi" w:eastAsia="Times New Roman" w:hAnsiTheme="majorHAnsi" w:cs="Calibri"/>
          <w:color w:val="000000"/>
          <w:lang w:eastAsia="pt-BR"/>
        </w:rPr>
        <w:t>.</w:t>
      </w:r>
    </w:p>
    <w:p w:rsidR="009F754B" w:rsidRDefault="004849B4" w:rsidP="00382F40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 xml:space="preserve">Na tabela 1 constam os cursos avaliados pelo ENADE 2012 e as notas do CPC. 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D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os 15 cursos avaliados, 11 </w:t>
      </w:r>
      <w:r w:rsidR="009F754B">
        <w:rPr>
          <w:rFonts w:asciiTheme="majorHAnsi" w:eastAsia="Times New Roman" w:hAnsiTheme="majorHAnsi" w:cs="Calibri"/>
          <w:color w:val="000000"/>
          <w:lang w:eastAsia="pt-BR"/>
        </w:rPr>
        <w:t xml:space="preserve">foram classificados como satisfatórios, ou seja, </w:t>
      </w:r>
      <w:r w:rsidR="005B2A2F">
        <w:rPr>
          <w:rFonts w:asciiTheme="majorHAnsi" w:eastAsia="Times New Roman" w:hAnsiTheme="majorHAnsi" w:cs="Calibri"/>
          <w:color w:val="000000"/>
          <w:lang w:eastAsia="pt-BR"/>
        </w:rPr>
        <w:t xml:space="preserve">73,3% dos cursos obtiveram </w:t>
      </w:r>
      <w:r w:rsidR="009F754B">
        <w:rPr>
          <w:rFonts w:asciiTheme="majorHAnsi" w:eastAsia="Times New Roman" w:hAnsiTheme="majorHAnsi" w:cs="Calibri"/>
          <w:color w:val="000000"/>
          <w:lang w:eastAsia="pt-BR"/>
        </w:rPr>
        <w:t xml:space="preserve">notas iguais ou superiores a </w:t>
      </w:r>
      <w:proofErr w:type="gramStart"/>
      <w:r w:rsidR="009F754B">
        <w:rPr>
          <w:rFonts w:asciiTheme="majorHAnsi" w:eastAsia="Times New Roman" w:hAnsiTheme="majorHAnsi" w:cs="Calibri"/>
          <w:color w:val="000000"/>
          <w:lang w:eastAsia="pt-BR"/>
        </w:rPr>
        <w:t>3</w:t>
      </w:r>
      <w:proofErr w:type="gramEnd"/>
      <w:r w:rsidR="009F754B">
        <w:rPr>
          <w:rFonts w:asciiTheme="majorHAnsi" w:eastAsia="Times New Roman" w:hAnsiTheme="majorHAnsi" w:cs="Calibri"/>
          <w:color w:val="000000"/>
          <w:lang w:eastAsia="pt-BR"/>
        </w:rPr>
        <w:t>. Merecem destaque os cursos de Psicologia e Public</w:t>
      </w:r>
      <w:r w:rsidR="005B2A2F">
        <w:rPr>
          <w:rFonts w:asciiTheme="majorHAnsi" w:eastAsia="Times New Roman" w:hAnsiTheme="majorHAnsi" w:cs="Calibri"/>
          <w:color w:val="000000"/>
          <w:lang w:eastAsia="pt-BR"/>
        </w:rPr>
        <w:t xml:space="preserve">idade e Propaganda, 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conceito </w:t>
      </w:r>
      <w:proofErr w:type="gramStart"/>
      <w:r w:rsidR="00807AA0">
        <w:rPr>
          <w:rFonts w:asciiTheme="majorHAnsi" w:eastAsia="Times New Roman" w:hAnsiTheme="majorHAnsi" w:cs="Calibri"/>
          <w:color w:val="000000"/>
          <w:lang w:eastAsia="pt-BR"/>
        </w:rPr>
        <w:t>5</w:t>
      </w:r>
      <w:proofErr w:type="gramEnd"/>
      <w:r w:rsidR="005B2A2F">
        <w:rPr>
          <w:rFonts w:asciiTheme="majorHAnsi" w:eastAsia="Times New Roman" w:hAnsiTheme="majorHAnsi" w:cs="Calibri"/>
          <w:color w:val="000000"/>
          <w:lang w:eastAsia="pt-BR"/>
        </w:rPr>
        <w:t xml:space="preserve">, seguidos pelos cursos de </w:t>
      </w:r>
      <w:r w:rsidR="009F754B">
        <w:rPr>
          <w:rFonts w:asciiTheme="majorHAnsi" w:eastAsia="Times New Roman" w:hAnsiTheme="majorHAnsi" w:cs="Calibri"/>
          <w:color w:val="000000"/>
          <w:lang w:eastAsia="pt-BR"/>
        </w:rPr>
        <w:t>Relações Internacionais, Direito</w:t>
      </w:r>
      <w:r w:rsidR="005B2A2F">
        <w:rPr>
          <w:rFonts w:asciiTheme="majorHAnsi" w:eastAsia="Times New Roman" w:hAnsiTheme="majorHAnsi" w:cs="Calibri"/>
          <w:color w:val="000000"/>
          <w:lang w:eastAsia="pt-BR"/>
        </w:rPr>
        <w:t xml:space="preserve"> e</w:t>
      </w:r>
      <w:r w:rsidR="009F754B">
        <w:rPr>
          <w:rFonts w:asciiTheme="majorHAnsi" w:eastAsia="Times New Roman" w:hAnsiTheme="majorHAnsi" w:cs="Calibri"/>
          <w:color w:val="000000"/>
          <w:lang w:eastAsia="pt-BR"/>
        </w:rPr>
        <w:t xml:space="preserve"> Administração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, com conceito 4</w:t>
      </w:r>
      <w:r w:rsidR="005B2A2F">
        <w:rPr>
          <w:rFonts w:asciiTheme="majorHAnsi" w:eastAsia="Times New Roman" w:hAnsiTheme="majorHAnsi" w:cs="Calibri"/>
          <w:color w:val="000000"/>
          <w:lang w:eastAsia="pt-BR"/>
        </w:rPr>
        <w:t>.</w:t>
      </w:r>
    </w:p>
    <w:p w:rsidR="009F754B" w:rsidRDefault="005B2A2F" w:rsidP="00382F40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No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tocante ao CPC</w:t>
      </w:r>
      <w:r>
        <w:rPr>
          <w:rFonts w:asciiTheme="majorHAnsi" w:eastAsia="Times New Roman" w:hAnsiTheme="majorHAnsi" w:cs="Calibri"/>
          <w:color w:val="000000"/>
          <w:lang w:eastAsia="pt-BR"/>
        </w:rPr>
        <w:t>, 13 dos 15 cursos foram avaliados como satisfatór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ios, ou seja, 86,7% obtiveram conceito </w:t>
      </w:r>
      <w:proofErr w:type="gramStart"/>
      <w:r>
        <w:rPr>
          <w:rFonts w:asciiTheme="majorHAnsi" w:eastAsia="Times New Roman" w:hAnsiTheme="majorHAnsi" w:cs="Calibri"/>
          <w:color w:val="000000"/>
          <w:lang w:eastAsia="pt-BR"/>
        </w:rPr>
        <w:t>3</w:t>
      </w:r>
      <w:proofErr w:type="gramEnd"/>
      <w:r>
        <w:rPr>
          <w:rFonts w:asciiTheme="majorHAnsi" w:eastAsia="Times New Roman" w:hAnsiTheme="majorHAnsi" w:cs="Calibri"/>
          <w:color w:val="000000"/>
          <w:lang w:eastAsia="pt-BR"/>
        </w:rPr>
        <w:t xml:space="preserve"> ou superior.</w:t>
      </w:r>
      <w:r w:rsidR="00FA7615">
        <w:rPr>
          <w:rFonts w:asciiTheme="majorHAnsi" w:eastAsia="Times New Roman" w:hAnsiTheme="majorHAnsi" w:cs="Calibri"/>
          <w:color w:val="000000"/>
          <w:lang w:eastAsia="pt-BR"/>
        </w:rPr>
        <w:t xml:space="preserve"> Mantiveram o destaque os cursos de Psicologia e Publicidade e Propaganda, 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cujo desempenho foi o melhor, obtendo conceito</w:t>
      </w:r>
      <w:r w:rsidR="00FA7615">
        <w:rPr>
          <w:rFonts w:asciiTheme="majorHAnsi" w:eastAsia="Times New Roman" w:hAnsiTheme="majorHAnsi" w:cs="Calibri"/>
          <w:color w:val="000000"/>
          <w:lang w:eastAsia="pt-BR"/>
        </w:rPr>
        <w:t xml:space="preserve"> </w:t>
      </w:r>
      <w:proofErr w:type="gramStart"/>
      <w:r w:rsidR="00FA7615">
        <w:rPr>
          <w:rFonts w:asciiTheme="majorHAnsi" w:eastAsia="Times New Roman" w:hAnsiTheme="majorHAnsi" w:cs="Calibri"/>
          <w:color w:val="000000"/>
          <w:lang w:eastAsia="pt-BR"/>
        </w:rPr>
        <w:t>4</w:t>
      </w:r>
      <w:proofErr w:type="gramEnd"/>
      <w:r w:rsidR="00FA7615">
        <w:rPr>
          <w:rFonts w:asciiTheme="majorHAnsi" w:eastAsia="Times New Roman" w:hAnsiTheme="majorHAnsi" w:cs="Calibri"/>
          <w:color w:val="000000"/>
          <w:lang w:eastAsia="pt-BR"/>
        </w:rPr>
        <w:t>.</w:t>
      </w:r>
    </w:p>
    <w:p w:rsidR="00DC73A1" w:rsidRDefault="00FA7615" w:rsidP="00382F40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 xml:space="preserve">Os bons resultados acima 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 xml:space="preserve">impõem, no entanto, 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desafios 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>na busca pela melhoria continuada da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>s condições didático-pedagógicas e de infraestrutura dos cursos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 xml:space="preserve">. </w:t>
      </w:r>
      <w:r w:rsidR="00807AA0">
        <w:rPr>
          <w:rFonts w:asciiTheme="majorHAnsi" w:eastAsia="Times New Roman" w:hAnsiTheme="majorHAnsi" w:cs="Calibri"/>
          <w:color w:val="000000"/>
          <w:lang w:eastAsia="pt-BR"/>
        </w:rPr>
        <w:t xml:space="preserve"> A carência de professores doutores 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 xml:space="preserve">se impõe como um desafio para os cursos de Ciências Contábeis e Turismo, por exemplo, uma vez que 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 xml:space="preserve">o CPC 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 xml:space="preserve">é diretamente afetado pela qualificação docente. </w:t>
      </w:r>
    </w:p>
    <w:p w:rsidR="00FB5407" w:rsidRDefault="006C7BCD" w:rsidP="00382F40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A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 xml:space="preserve"> qualificação docente</w:t>
      </w:r>
      <w:r w:rsidR="00086706">
        <w:rPr>
          <w:rFonts w:asciiTheme="majorHAnsi" w:eastAsia="Times New Roman" w:hAnsiTheme="majorHAnsi" w:cs="Calibri"/>
          <w:color w:val="000000"/>
          <w:lang w:eastAsia="pt-BR"/>
        </w:rPr>
        <w:t xml:space="preserve">, </w:t>
      </w:r>
      <w:r w:rsidR="003F1580">
        <w:rPr>
          <w:rFonts w:asciiTheme="majorHAnsi" w:eastAsia="Times New Roman" w:hAnsiTheme="majorHAnsi" w:cs="Calibri"/>
          <w:color w:val="000000"/>
          <w:lang w:eastAsia="pt-BR"/>
        </w:rPr>
        <w:t>sobremaneira</w:t>
      </w:r>
      <w:r w:rsidR="00086706">
        <w:rPr>
          <w:rFonts w:asciiTheme="majorHAnsi" w:eastAsia="Times New Roman" w:hAnsiTheme="majorHAnsi" w:cs="Calibri"/>
          <w:color w:val="000000"/>
          <w:lang w:eastAsia="pt-BR"/>
        </w:rPr>
        <w:t xml:space="preserve"> para os cursos em fase de consolidação,</w:t>
      </w:r>
      <w:r w:rsidR="00FB5407">
        <w:rPr>
          <w:rFonts w:asciiTheme="majorHAnsi" w:eastAsia="Times New Roman" w:hAnsiTheme="majorHAnsi" w:cs="Calibri"/>
          <w:color w:val="000000"/>
          <w:lang w:eastAsia="pt-BR"/>
        </w:rPr>
        <w:t xml:space="preserve"> representa para a UFS uma importante ação dentro da política de melhoria 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>do desempenho acadêmico</w:t>
      </w:r>
      <w:r w:rsidR="00086706">
        <w:rPr>
          <w:rFonts w:asciiTheme="majorHAnsi" w:eastAsia="Times New Roman" w:hAnsiTheme="majorHAnsi" w:cs="Calibri"/>
          <w:color w:val="000000"/>
          <w:lang w:eastAsia="pt-BR"/>
        </w:rPr>
        <w:t xml:space="preserve">. 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 xml:space="preserve">Cabe destacar que </w:t>
      </w:r>
      <w:r w:rsidR="00F1652D">
        <w:rPr>
          <w:rFonts w:asciiTheme="majorHAnsi" w:eastAsia="Times New Roman" w:hAnsiTheme="majorHAnsi" w:cs="Calibri"/>
          <w:color w:val="000000"/>
          <w:lang w:eastAsia="pt-BR"/>
        </w:rPr>
        <w:t>o aumento do número de doutores,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 xml:space="preserve"> embora </w:t>
      </w:r>
      <w:r w:rsidR="00F1652D">
        <w:rPr>
          <w:rFonts w:asciiTheme="majorHAnsi" w:eastAsia="Times New Roman" w:hAnsiTheme="majorHAnsi" w:cs="Calibri"/>
          <w:color w:val="000000"/>
          <w:lang w:eastAsia="pt-BR"/>
        </w:rPr>
        <w:t>tend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>a</w:t>
      </w:r>
      <w:r w:rsidR="00F1652D">
        <w:rPr>
          <w:rFonts w:asciiTheme="majorHAnsi" w:eastAsia="Times New Roman" w:hAnsiTheme="majorHAnsi" w:cs="Calibri"/>
          <w:color w:val="000000"/>
          <w:lang w:eastAsia="pt-BR"/>
        </w:rPr>
        <w:t xml:space="preserve"> a contribuir para melhoria </w:t>
      </w:r>
      <w:r w:rsidR="007C0E7D">
        <w:rPr>
          <w:rFonts w:asciiTheme="majorHAnsi" w:eastAsia="Times New Roman" w:hAnsiTheme="majorHAnsi" w:cs="Calibri"/>
          <w:color w:val="000000"/>
          <w:lang w:eastAsia="pt-BR"/>
        </w:rPr>
        <w:t>no CPC</w:t>
      </w:r>
      <w:r w:rsidR="00DC73A1">
        <w:rPr>
          <w:rFonts w:asciiTheme="majorHAnsi" w:eastAsia="Times New Roman" w:hAnsiTheme="majorHAnsi" w:cs="Calibri"/>
          <w:color w:val="000000"/>
          <w:lang w:eastAsia="pt-BR"/>
        </w:rPr>
        <w:t>, o desempenho dos alunos no ENADE é decisivo para o desempenho do Curso, em particular, e da Instituição como um todo</w:t>
      </w:r>
      <w:r w:rsidR="007C0E7D">
        <w:rPr>
          <w:rFonts w:asciiTheme="majorHAnsi" w:eastAsia="Times New Roman" w:hAnsiTheme="majorHAnsi" w:cs="Calibri"/>
          <w:color w:val="000000"/>
          <w:lang w:eastAsia="pt-BR"/>
        </w:rPr>
        <w:t xml:space="preserve">. </w:t>
      </w:r>
    </w:p>
    <w:p w:rsidR="00923309" w:rsidRDefault="00923309" w:rsidP="00382F40">
      <w:pPr>
        <w:pStyle w:val="PargrafodaLista"/>
        <w:spacing w:after="0" w:line="240" w:lineRule="auto"/>
        <w:ind w:left="0" w:firstLine="851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 xml:space="preserve">Os resultados não satisfatórios no ENADE indicam a necessidade de reavaliar os procedimentos de ensino e aprendizagem, </w:t>
      </w:r>
      <w:r w:rsidR="00B47065">
        <w:rPr>
          <w:rFonts w:asciiTheme="majorHAnsi" w:eastAsia="Times New Roman" w:hAnsiTheme="majorHAnsi" w:cs="Calibri"/>
          <w:color w:val="000000"/>
          <w:lang w:eastAsia="pt-BR"/>
        </w:rPr>
        <w:t xml:space="preserve">sobretudo </w:t>
      </w:r>
      <w:r w:rsidR="003F1580">
        <w:rPr>
          <w:rFonts w:asciiTheme="majorHAnsi" w:eastAsia="Times New Roman" w:hAnsiTheme="majorHAnsi" w:cs="Calibri"/>
          <w:color w:val="000000"/>
          <w:lang w:eastAsia="pt-BR"/>
        </w:rPr>
        <w:t>d</w:t>
      </w:r>
      <w:r w:rsidR="00B47065">
        <w:rPr>
          <w:rFonts w:asciiTheme="majorHAnsi" w:eastAsia="Times New Roman" w:hAnsiTheme="majorHAnsi" w:cs="Calibri"/>
          <w:color w:val="000000"/>
          <w:lang w:eastAsia="pt-BR"/>
        </w:rPr>
        <w:t>os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 conteúdos programáticos</w:t>
      </w:r>
      <w:r w:rsidR="00B47065">
        <w:rPr>
          <w:rFonts w:asciiTheme="majorHAnsi" w:eastAsia="Times New Roman" w:hAnsiTheme="majorHAnsi" w:cs="Calibri"/>
          <w:color w:val="000000"/>
          <w:lang w:eastAsia="pt-BR"/>
        </w:rPr>
        <w:t xml:space="preserve"> específicos, cujo desempenho dos alunos revelou fragilidades.</w:t>
      </w:r>
      <w:r>
        <w:rPr>
          <w:rFonts w:asciiTheme="majorHAnsi" w:eastAsia="Times New Roman" w:hAnsiTheme="majorHAnsi" w:cs="Calibri"/>
          <w:color w:val="000000"/>
          <w:lang w:eastAsia="pt-BR"/>
        </w:rPr>
        <w:t xml:space="preserve"> </w:t>
      </w:r>
    </w:p>
    <w:p w:rsidR="008A2F26" w:rsidRDefault="008A2F26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612983" w:rsidRDefault="00612983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8A2F26" w:rsidRDefault="00923309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 xml:space="preserve">São Cristóvão, </w:t>
      </w:r>
      <w:proofErr w:type="gramStart"/>
      <w:r>
        <w:rPr>
          <w:rFonts w:asciiTheme="majorHAnsi" w:eastAsia="Times New Roman" w:hAnsiTheme="majorHAnsi" w:cs="Calibri"/>
          <w:color w:val="000000"/>
          <w:lang w:eastAsia="pt-BR"/>
        </w:rPr>
        <w:t>3</w:t>
      </w:r>
      <w:proofErr w:type="gramEnd"/>
      <w:r w:rsidR="008A2F26">
        <w:rPr>
          <w:rFonts w:asciiTheme="majorHAnsi" w:eastAsia="Times New Roman" w:hAnsiTheme="majorHAnsi" w:cs="Calibri"/>
          <w:color w:val="000000"/>
          <w:lang w:eastAsia="pt-BR"/>
        </w:rPr>
        <w:t xml:space="preserve"> de dezembro de 2013</w:t>
      </w:r>
    </w:p>
    <w:p w:rsidR="003F1580" w:rsidRDefault="003F158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3F1580" w:rsidRDefault="003F1580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</w:p>
    <w:p w:rsidR="008A2F26" w:rsidRDefault="008A2F26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__________________________________________</w:t>
      </w:r>
    </w:p>
    <w:p w:rsidR="008A2F26" w:rsidRDefault="008A2F26" w:rsidP="001116E8">
      <w:pPr>
        <w:spacing w:after="0" w:line="240" w:lineRule="auto"/>
        <w:ind w:firstLine="795"/>
        <w:jc w:val="both"/>
        <w:rPr>
          <w:rFonts w:asciiTheme="majorHAnsi" w:eastAsia="Times New Roman" w:hAnsiTheme="majorHAnsi" w:cs="Calibri"/>
          <w:color w:val="000000"/>
          <w:lang w:eastAsia="pt-BR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Kleber Fernandes de Oliveira</w:t>
      </w:r>
    </w:p>
    <w:p w:rsidR="003329FC" w:rsidRPr="00507266" w:rsidRDefault="008A2F26" w:rsidP="003F1580">
      <w:pPr>
        <w:spacing w:after="0" w:line="240" w:lineRule="auto"/>
        <w:ind w:firstLine="795"/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Calibri"/>
          <w:color w:val="000000"/>
          <w:lang w:eastAsia="pt-BR"/>
        </w:rPr>
        <w:t>Coordenação de Planejamento Acadêmico</w:t>
      </w:r>
    </w:p>
    <w:sectPr w:rsidR="003329FC" w:rsidRPr="00507266" w:rsidSect="00B13DAD">
      <w:headerReference w:type="default" r:id="rId11"/>
      <w:pgSz w:w="11906" w:h="16838"/>
      <w:pgMar w:top="1417" w:right="1274" w:bottom="1417" w:left="1418" w:header="708" w:footer="708" w:gutter="0"/>
      <w:cols w:space="282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B30" w:rsidRDefault="00845B30" w:rsidP="006C5568">
      <w:pPr>
        <w:spacing w:after="0" w:line="240" w:lineRule="auto"/>
      </w:pPr>
      <w:r>
        <w:separator/>
      </w:r>
    </w:p>
  </w:endnote>
  <w:endnote w:type="continuationSeparator" w:id="0">
    <w:p w:rsidR="00845B30" w:rsidRDefault="00845B30" w:rsidP="006C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B30" w:rsidRDefault="00845B30" w:rsidP="006C5568">
      <w:pPr>
        <w:spacing w:after="0" w:line="240" w:lineRule="auto"/>
      </w:pPr>
      <w:r>
        <w:separator/>
      </w:r>
    </w:p>
  </w:footnote>
  <w:footnote w:type="continuationSeparator" w:id="0">
    <w:p w:rsidR="00845B30" w:rsidRDefault="00845B30" w:rsidP="006C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706" w:rsidRDefault="00FA296D">
    <w:pPr>
      <w:pStyle w:val="Cabealho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p w:rsidR="00086706" w:rsidRDefault="00086706" w:rsidP="006C5568">
                <w:pPr>
                  <w:spacing w:after="0" w:line="240" w:lineRule="auto"/>
                  <w:jc w:val="right"/>
                </w:pPr>
                <w:r>
                  <w:t xml:space="preserve">Informe </w:t>
                </w:r>
                <w:proofErr w:type="spellStart"/>
                <w:r>
                  <w:t>Cogeplan</w:t>
                </w:r>
                <w:proofErr w:type="spellEnd"/>
                <w:r>
                  <w:t>: Índice Geral de Cursos 2012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5176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:rsidR="00086706" w:rsidRDefault="00FA296D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612983" w:rsidRPr="00612983">
                    <w:rPr>
                      <w:noProof/>
                      <w:color w:val="FFFFFF" w:themeColor="background1"/>
                    </w:rPr>
                    <w:t>2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C54"/>
    <w:multiLevelType w:val="multilevel"/>
    <w:tmpl w:val="0CE280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169747D4"/>
    <w:multiLevelType w:val="hybridMultilevel"/>
    <w:tmpl w:val="7C6EF1F4"/>
    <w:lvl w:ilvl="0" w:tplc="1176451A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5" w:hanging="360"/>
      </w:pPr>
    </w:lvl>
    <w:lvl w:ilvl="2" w:tplc="0416001B" w:tentative="1">
      <w:start w:val="1"/>
      <w:numFmt w:val="lowerRoman"/>
      <w:lvlText w:val="%3."/>
      <w:lvlJc w:val="right"/>
      <w:pPr>
        <w:ind w:left="2595" w:hanging="180"/>
      </w:pPr>
    </w:lvl>
    <w:lvl w:ilvl="3" w:tplc="0416000F" w:tentative="1">
      <w:start w:val="1"/>
      <w:numFmt w:val="decimal"/>
      <w:lvlText w:val="%4."/>
      <w:lvlJc w:val="left"/>
      <w:pPr>
        <w:ind w:left="3315" w:hanging="360"/>
      </w:pPr>
    </w:lvl>
    <w:lvl w:ilvl="4" w:tplc="04160019" w:tentative="1">
      <w:start w:val="1"/>
      <w:numFmt w:val="lowerLetter"/>
      <w:lvlText w:val="%5."/>
      <w:lvlJc w:val="left"/>
      <w:pPr>
        <w:ind w:left="4035" w:hanging="360"/>
      </w:pPr>
    </w:lvl>
    <w:lvl w:ilvl="5" w:tplc="0416001B" w:tentative="1">
      <w:start w:val="1"/>
      <w:numFmt w:val="lowerRoman"/>
      <w:lvlText w:val="%6."/>
      <w:lvlJc w:val="right"/>
      <w:pPr>
        <w:ind w:left="4755" w:hanging="180"/>
      </w:pPr>
    </w:lvl>
    <w:lvl w:ilvl="6" w:tplc="0416000F" w:tentative="1">
      <w:start w:val="1"/>
      <w:numFmt w:val="decimal"/>
      <w:lvlText w:val="%7."/>
      <w:lvlJc w:val="left"/>
      <w:pPr>
        <w:ind w:left="5475" w:hanging="360"/>
      </w:pPr>
    </w:lvl>
    <w:lvl w:ilvl="7" w:tplc="04160019" w:tentative="1">
      <w:start w:val="1"/>
      <w:numFmt w:val="lowerLetter"/>
      <w:lvlText w:val="%8."/>
      <w:lvlJc w:val="left"/>
      <w:pPr>
        <w:ind w:left="6195" w:hanging="360"/>
      </w:pPr>
    </w:lvl>
    <w:lvl w:ilvl="8" w:tplc="0416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CA50258"/>
    <w:multiLevelType w:val="hybridMultilevel"/>
    <w:tmpl w:val="E82C8E6E"/>
    <w:lvl w:ilvl="0" w:tplc="7C86B26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DD033C3"/>
    <w:multiLevelType w:val="hybridMultilevel"/>
    <w:tmpl w:val="7E7A6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A35F3"/>
    <w:multiLevelType w:val="hybridMultilevel"/>
    <w:tmpl w:val="21041AF8"/>
    <w:lvl w:ilvl="0" w:tplc="83D2749C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2B1B7B"/>
    <w:multiLevelType w:val="hybridMultilevel"/>
    <w:tmpl w:val="6DACDF38"/>
    <w:lvl w:ilvl="0" w:tplc="86CA7A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5348C1"/>
    <w:multiLevelType w:val="hybridMultilevel"/>
    <w:tmpl w:val="1A3E05E4"/>
    <w:lvl w:ilvl="0" w:tplc="3AC2862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C0071B5"/>
    <w:multiLevelType w:val="hybridMultilevel"/>
    <w:tmpl w:val="804C5C40"/>
    <w:lvl w:ilvl="0" w:tplc="B358D8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5638A"/>
    <w:multiLevelType w:val="hybridMultilevel"/>
    <w:tmpl w:val="6FD6FF14"/>
    <w:lvl w:ilvl="0" w:tplc="706C3B4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50366F34"/>
    <w:multiLevelType w:val="hybridMultilevel"/>
    <w:tmpl w:val="35927CCA"/>
    <w:lvl w:ilvl="0" w:tplc="06D684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146E80"/>
    <w:multiLevelType w:val="hybridMultilevel"/>
    <w:tmpl w:val="66AEA632"/>
    <w:lvl w:ilvl="0" w:tplc="C75491F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AF70528"/>
    <w:multiLevelType w:val="hybridMultilevel"/>
    <w:tmpl w:val="E1CE58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00273"/>
    <w:multiLevelType w:val="hybridMultilevel"/>
    <w:tmpl w:val="6D609B46"/>
    <w:lvl w:ilvl="0" w:tplc="74FA38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1A56FC"/>
    <w:multiLevelType w:val="hybridMultilevel"/>
    <w:tmpl w:val="F0601DEE"/>
    <w:lvl w:ilvl="0" w:tplc="75F8472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7820E26"/>
    <w:multiLevelType w:val="hybridMultilevel"/>
    <w:tmpl w:val="0F1E36B8"/>
    <w:lvl w:ilvl="0" w:tplc="447A4C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5"/>
  </w:num>
  <w:num w:numId="10">
    <w:abstractNumId w:val="0"/>
  </w:num>
  <w:num w:numId="11">
    <w:abstractNumId w:val="13"/>
  </w:num>
  <w:num w:numId="12">
    <w:abstractNumId w:val="11"/>
  </w:num>
  <w:num w:numId="13">
    <w:abstractNumId w:val="3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6826"/>
    <w:rsid w:val="00013036"/>
    <w:rsid w:val="00086706"/>
    <w:rsid w:val="000D0846"/>
    <w:rsid w:val="001116E8"/>
    <w:rsid w:val="00157964"/>
    <w:rsid w:val="00172AFD"/>
    <w:rsid w:val="00196D67"/>
    <w:rsid w:val="001C4E12"/>
    <w:rsid w:val="00272F6D"/>
    <w:rsid w:val="00295B3A"/>
    <w:rsid w:val="003329FC"/>
    <w:rsid w:val="00382F40"/>
    <w:rsid w:val="003A1C67"/>
    <w:rsid w:val="003F1580"/>
    <w:rsid w:val="00406659"/>
    <w:rsid w:val="00465298"/>
    <w:rsid w:val="004849B4"/>
    <w:rsid w:val="004D3D9E"/>
    <w:rsid w:val="005005A9"/>
    <w:rsid w:val="00507266"/>
    <w:rsid w:val="00570C54"/>
    <w:rsid w:val="00585A14"/>
    <w:rsid w:val="005A22DD"/>
    <w:rsid w:val="005B2A2F"/>
    <w:rsid w:val="00612983"/>
    <w:rsid w:val="0064341E"/>
    <w:rsid w:val="00652EBA"/>
    <w:rsid w:val="006608C5"/>
    <w:rsid w:val="006C1E63"/>
    <w:rsid w:val="006C5568"/>
    <w:rsid w:val="006C7BCD"/>
    <w:rsid w:val="006D0772"/>
    <w:rsid w:val="00731C0F"/>
    <w:rsid w:val="0075386E"/>
    <w:rsid w:val="00787801"/>
    <w:rsid w:val="007C0E7D"/>
    <w:rsid w:val="0080199D"/>
    <w:rsid w:val="00807AA0"/>
    <w:rsid w:val="00845B30"/>
    <w:rsid w:val="008A2F26"/>
    <w:rsid w:val="008A56CB"/>
    <w:rsid w:val="008C649D"/>
    <w:rsid w:val="008C6826"/>
    <w:rsid w:val="008D3AFB"/>
    <w:rsid w:val="00923309"/>
    <w:rsid w:val="00933470"/>
    <w:rsid w:val="009918F8"/>
    <w:rsid w:val="009B2A21"/>
    <w:rsid w:val="009F754B"/>
    <w:rsid w:val="00AA6981"/>
    <w:rsid w:val="00B13DAD"/>
    <w:rsid w:val="00B47065"/>
    <w:rsid w:val="00C032C6"/>
    <w:rsid w:val="00D11525"/>
    <w:rsid w:val="00D160F8"/>
    <w:rsid w:val="00D77B53"/>
    <w:rsid w:val="00DA2DD7"/>
    <w:rsid w:val="00DA6ECD"/>
    <w:rsid w:val="00DC73A1"/>
    <w:rsid w:val="00DE45E3"/>
    <w:rsid w:val="00E209D2"/>
    <w:rsid w:val="00E73F97"/>
    <w:rsid w:val="00E92287"/>
    <w:rsid w:val="00EB450F"/>
    <w:rsid w:val="00EE31A1"/>
    <w:rsid w:val="00F1652D"/>
    <w:rsid w:val="00F33F58"/>
    <w:rsid w:val="00F45600"/>
    <w:rsid w:val="00F73293"/>
    <w:rsid w:val="00F93725"/>
    <w:rsid w:val="00FA296D"/>
    <w:rsid w:val="00FA58A3"/>
    <w:rsid w:val="00FA7615"/>
    <w:rsid w:val="00FB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2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8C6826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C6826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82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5568"/>
  </w:style>
  <w:style w:type="paragraph" w:styleId="Rodap">
    <w:name w:val="footer"/>
    <w:basedOn w:val="Normal"/>
    <w:link w:val="Rodap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568"/>
  </w:style>
  <w:style w:type="paragraph" w:styleId="PargrafodaLista">
    <w:name w:val="List Paragraph"/>
    <w:basedOn w:val="Normal"/>
    <w:uiPriority w:val="34"/>
    <w:qFormat/>
    <w:rsid w:val="006C55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 – Base 2012</PublishDate>
  <Abstract>Resumo informativo produzido pela Copac/Cogeplan de circulação interna.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COGEPLAN – 1/2012</vt:lpstr>
    </vt:vector>
  </TitlesOfParts>
  <Company>UNIVERSIDADE FEDERAL DE SERGIPE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COGEPLAN – 1/2012</dc:title>
  <dc:creator>COORDENAÇÃO DE PLANEJAMENTO ACADÊMICO COGEPLAN</dc:creator>
  <cp:lastModifiedBy>Daten</cp:lastModifiedBy>
  <cp:revision>4</cp:revision>
  <cp:lastPrinted>2012-12-07T18:56:00Z</cp:lastPrinted>
  <dcterms:created xsi:type="dcterms:W3CDTF">2013-12-03T18:34:00Z</dcterms:created>
  <dcterms:modified xsi:type="dcterms:W3CDTF">2013-12-03T18:41:00Z</dcterms:modified>
</cp:coreProperties>
</file>